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547105">
        <w:rPr>
          <w:rFonts w:ascii="Times New Roman" w:hAnsi="Times New Roman" w:cs="Times New Roman"/>
          <w:sz w:val="28"/>
          <w:szCs w:val="28"/>
        </w:rPr>
        <w:t>21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2A719C">
        <w:rPr>
          <w:rFonts w:ascii="Times New Roman" w:hAnsi="Times New Roman" w:cs="Times New Roman"/>
          <w:sz w:val="28"/>
          <w:szCs w:val="28"/>
        </w:rPr>
        <w:t>0</w:t>
      </w:r>
      <w:r w:rsidR="00547105">
        <w:rPr>
          <w:rFonts w:ascii="Times New Roman" w:hAnsi="Times New Roman" w:cs="Times New Roman"/>
          <w:sz w:val="28"/>
          <w:szCs w:val="28"/>
        </w:rPr>
        <w:t>9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D842CD">
        <w:rPr>
          <w:rFonts w:ascii="Times New Roman" w:hAnsi="Times New Roman" w:cs="Times New Roman"/>
          <w:sz w:val="28"/>
          <w:szCs w:val="28"/>
        </w:rPr>
        <w:t>2</w:t>
      </w:r>
      <w:r w:rsidR="002A719C">
        <w:rPr>
          <w:rFonts w:ascii="Times New Roman" w:hAnsi="Times New Roman" w:cs="Times New Roman"/>
          <w:sz w:val="28"/>
          <w:szCs w:val="28"/>
        </w:rPr>
        <w:t>3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5965B1" w:rsidRPr="00E71405" w:rsidRDefault="00D05BEC" w:rsidP="0059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приложении к газете </w:t>
      </w:r>
      <w:r w:rsidR="00F82EB6" w:rsidRPr="00C75EB9">
        <w:rPr>
          <w:rFonts w:ascii="Times New Roman" w:hAnsi="Times New Roman" w:cs="Times New Roman"/>
          <w:sz w:val="28"/>
          <w:szCs w:val="28"/>
        </w:rPr>
        <w:t>«Барабинские</w:t>
      </w:r>
      <w:r w:rsidRPr="00C75EB9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C75EB9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5965B1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547105">
        <w:rPr>
          <w:rFonts w:ascii="Times New Roman" w:hAnsi="Times New Roman" w:cs="Times New Roman"/>
          <w:sz w:val="28"/>
          <w:szCs w:val="28"/>
        </w:rPr>
        <w:t>38</w:t>
      </w:r>
      <w:r w:rsidR="00AB6E03">
        <w:rPr>
          <w:rFonts w:ascii="Times New Roman" w:hAnsi="Times New Roman" w:cs="Times New Roman"/>
          <w:sz w:val="28"/>
          <w:szCs w:val="28"/>
        </w:rPr>
        <w:t>(</w:t>
      </w:r>
      <w:r w:rsidR="007C5B7E">
        <w:rPr>
          <w:rFonts w:ascii="Times New Roman" w:hAnsi="Times New Roman" w:cs="Times New Roman"/>
          <w:sz w:val="28"/>
          <w:szCs w:val="28"/>
        </w:rPr>
        <w:t>5</w:t>
      </w:r>
      <w:r w:rsidR="00547105">
        <w:rPr>
          <w:rFonts w:ascii="Times New Roman" w:hAnsi="Times New Roman" w:cs="Times New Roman"/>
          <w:sz w:val="28"/>
          <w:szCs w:val="28"/>
        </w:rPr>
        <w:t>50</w:t>
      </w:r>
      <w:r w:rsidR="00AB6E03">
        <w:rPr>
          <w:rFonts w:ascii="Times New Roman" w:hAnsi="Times New Roman" w:cs="Times New Roman"/>
          <w:sz w:val="28"/>
          <w:szCs w:val="28"/>
        </w:rPr>
        <w:t>)</w:t>
      </w:r>
      <w:r w:rsidR="005965B1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547105">
        <w:rPr>
          <w:rFonts w:ascii="Times New Roman" w:hAnsi="Times New Roman" w:cs="Times New Roman"/>
          <w:sz w:val="28"/>
          <w:szCs w:val="28"/>
        </w:rPr>
        <w:t>24</w:t>
      </w:r>
      <w:r w:rsidR="007C5B7E">
        <w:rPr>
          <w:rFonts w:ascii="Times New Roman" w:hAnsi="Times New Roman" w:cs="Times New Roman"/>
          <w:sz w:val="28"/>
          <w:szCs w:val="28"/>
        </w:rPr>
        <w:t xml:space="preserve"> </w:t>
      </w:r>
      <w:r w:rsidR="00547105">
        <w:rPr>
          <w:rFonts w:ascii="Times New Roman" w:hAnsi="Times New Roman" w:cs="Times New Roman"/>
          <w:sz w:val="28"/>
          <w:szCs w:val="28"/>
        </w:rPr>
        <w:t>августа</w:t>
      </w:r>
      <w:r w:rsidR="007C5B7E">
        <w:rPr>
          <w:rFonts w:ascii="Times New Roman" w:hAnsi="Times New Roman" w:cs="Times New Roman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20</w:t>
      </w:r>
      <w:r w:rsidR="00E71405" w:rsidRPr="00E71405">
        <w:rPr>
          <w:rFonts w:ascii="Times New Roman" w:hAnsi="Times New Roman" w:cs="Times New Roman"/>
          <w:sz w:val="28"/>
          <w:szCs w:val="28"/>
        </w:rPr>
        <w:t>2</w:t>
      </w:r>
      <w:r w:rsidR="002A719C">
        <w:rPr>
          <w:rFonts w:ascii="Times New Roman" w:hAnsi="Times New Roman" w:cs="Times New Roman"/>
          <w:sz w:val="28"/>
          <w:szCs w:val="28"/>
        </w:rPr>
        <w:t>3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463E1A" w:rsidRPr="007A5D7F">
        <w:rPr>
          <w:szCs w:val="28"/>
          <w:lang w:val="en-US"/>
        </w:rPr>
        <w:t>barabinsk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nso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ru</w:t>
      </w:r>
      <w:proofErr w:type="spellEnd"/>
      <w:r w:rsidR="00463E1A" w:rsidRPr="007A5D7F">
        <w:rPr>
          <w:szCs w:val="28"/>
        </w:rPr>
        <w:t>.</w:t>
      </w:r>
    </w:p>
    <w:p w:rsidR="006039E2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письменных обращений физических и юридических лиц: не поступало.</w:t>
      </w:r>
    </w:p>
    <w:p w:rsidR="00D05BEC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5471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8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8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8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8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7E694C" w:rsidRDefault="007E694C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7B4EE2" w:rsidRPr="00C12CD5" w:rsidRDefault="007B4EE2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Pr="00C12CD5" w:rsidRDefault="008F1F4E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AB6E03" w:rsidRDefault="00AB6E03" w:rsidP="000E3766">
            <w:pPr>
              <w:pStyle w:val="a3"/>
              <w:jc w:val="both"/>
            </w:pPr>
            <w:r>
              <w:t>Член комиссии</w:t>
            </w: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CC74C3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B6E03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В</w:t>
            </w:r>
            <w:r w:rsidR="00AB6E03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Михайлова</w:t>
            </w:r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E95334" w:rsidP="00E95334">
            <w:pPr>
              <w:pStyle w:val="a3"/>
              <w:jc w:val="right"/>
            </w:pPr>
            <w:proofErr w:type="spellStart"/>
            <w:r>
              <w:t>А</w:t>
            </w:r>
            <w:r w:rsidR="00DA19C4">
              <w:t>.</w:t>
            </w:r>
            <w:r>
              <w:t>А</w:t>
            </w:r>
            <w:r w:rsidR="00DA19C4">
              <w:t>.</w:t>
            </w:r>
            <w:r>
              <w:t>Бабинцева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7B4EE2" w:rsidP="007B4EE2">
            <w:pPr>
              <w:pStyle w:val="a3"/>
              <w:jc w:val="right"/>
            </w:pPr>
            <w:r>
              <w:t xml:space="preserve">М.А. </w:t>
            </w:r>
            <w:proofErr w:type="spellStart"/>
            <w:r>
              <w:t>Еримов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AC773A" w:rsidP="007B4EE2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05BEC"/>
    <w:rsid w:val="00007AF2"/>
    <w:rsid w:val="00070722"/>
    <w:rsid w:val="00072C18"/>
    <w:rsid w:val="000E3766"/>
    <w:rsid w:val="000F559F"/>
    <w:rsid w:val="00126697"/>
    <w:rsid w:val="00143691"/>
    <w:rsid w:val="00184E32"/>
    <w:rsid w:val="00223B60"/>
    <w:rsid w:val="00292007"/>
    <w:rsid w:val="002A0050"/>
    <w:rsid w:val="002A719C"/>
    <w:rsid w:val="002C3646"/>
    <w:rsid w:val="002C794E"/>
    <w:rsid w:val="00300CBB"/>
    <w:rsid w:val="00342D17"/>
    <w:rsid w:val="0034367B"/>
    <w:rsid w:val="003D6A6C"/>
    <w:rsid w:val="00400E7D"/>
    <w:rsid w:val="00406C9D"/>
    <w:rsid w:val="00442D39"/>
    <w:rsid w:val="0045646E"/>
    <w:rsid w:val="00461C1A"/>
    <w:rsid w:val="00461E80"/>
    <w:rsid w:val="00463E1A"/>
    <w:rsid w:val="004B753A"/>
    <w:rsid w:val="004D65DF"/>
    <w:rsid w:val="00502FA7"/>
    <w:rsid w:val="00547105"/>
    <w:rsid w:val="0056396E"/>
    <w:rsid w:val="005965B1"/>
    <w:rsid w:val="005B1563"/>
    <w:rsid w:val="005E11AE"/>
    <w:rsid w:val="005E2F82"/>
    <w:rsid w:val="006039E2"/>
    <w:rsid w:val="006B762C"/>
    <w:rsid w:val="006D3BC3"/>
    <w:rsid w:val="006D405C"/>
    <w:rsid w:val="006F07DE"/>
    <w:rsid w:val="0070459A"/>
    <w:rsid w:val="0079317E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91AF7"/>
    <w:rsid w:val="008B00F7"/>
    <w:rsid w:val="008D545B"/>
    <w:rsid w:val="008F06D2"/>
    <w:rsid w:val="008F1F4E"/>
    <w:rsid w:val="00902292"/>
    <w:rsid w:val="00931889"/>
    <w:rsid w:val="00957782"/>
    <w:rsid w:val="00961A50"/>
    <w:rsid w:val="0097424A"/>
    <w:rsid w:val="009A1D49"/>
    <w:rsid w:val="009B434D"/>
    <w:rsid w:val="009D6E6A"/>
    <w:rsid w:val="009F2533"/>
    <w:rsid w:val="00A661D9"/>
    <w:rsid w:val="00AA3740"/>
    <w:rsid w:val="00AB536C"/>
    <w:rsid w:val="00AB6E03"/>
    <w:rsid w:val="00AC5D5D"/>
    <w:rsid w:val="00AC773A"/>
    <w:rsid w:val="00B358F2"/>
    <w:rsid w:val="00B3755E"/>
    <w:rsid w:val="00B454BE"/>
    <w:rsid w:val="00B76062"/>
    <w:rsid w:val="00BB75DE"/>
    <w:rsid w:val="00BC3C5B"/>
    <w:rsid w:val="00BF61A9"/>
    <w:rsid w:val="00C12CD5"/>
    <w:rsid w:val="00C65291"/>
    <w:rsid w:val="00C75EB9"/>
    <w:rsid w:val="00C90658"/>
    <w:rsid w:val="00CC74C3"/>
    <w:rsid w:val="00CD1EE2"/>
    <w:rsid w:val="00D05BEC"/>
    <w:rsid w:val="00D11E22"/>
    <w:rsid w:val="00D37178"/>
    <w:rsid w:val="00D842CD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EC41CF"/>
    <w:rsid w:val="00F148DD"/>
    <w:rsid w:val="00F37B4F"/>
    <w:rsid w:val="00F5088F"/>
    <w:rsid w:val="00F77319"/>
    <w:rsid w:val="00F82EB6"/>
    <w:rsid w:val="00FD6681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4</cp:revision>
  <cp:lastPrinted>2023-07-04T09:41:00Z</cp:lastPrinted>
  <dcterms:created xsi:type="dcterms:W3CDTF">2023-09-22T02:01:00Z</dcterms:created>
  <dcterms:modified xsi:type="dcterms:W3CDTF">2023-09-22T02:04:00Z</dcterms:modified>
</cp:coreProperties>
</file>